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DE" w:rsidRDefault="008452DE" w:rsidP="00845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20CE41E</w:t>
      </w:r>
      <w:r w:rsidR="00007F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INTEGRATED WATERSHED MANAGEMENT</w:t>
      </w:r>
    </w:p>
    <w:p w:rsidR="008452DE" w:rsidRDefault="008452DE" w:rsidP="008452DE">
      <w:pPr>
        <w:pStyle w:val="Default"/>
        <w:spacing w:before="120" w:after="120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8452DE" w:rsidRPr="00826C39" w:rsidRDefault="008452DE" w:rsidP="008452DE">
      <w:pPr>
        <w:pStyle w:val="Default"/>
        <w:spacing w:before="120" w:after="120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1"/>
        <w:gridCol w:w="2658"/>
        <w:gridCol w:w="3681"/>
        <w:gridCol w:w="1166"/>
      </w:tblGrid>
      <w:tr w:rsidR="008452DE" w:rsidRPr="00E13A45" w:rsidTr="00007F54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2DE" w:rsidRPr="009146F4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DE" w:rsidRPr="00E13A45" w:rsidTr="00007F54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2DE" w:rsidRPr="009146F4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3 - 0-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452DE" w:rsidRPr="00E13A45" w:rsidTr="00007F54">
        <w:trPr>
          <w:trHeight w:val="360"/>
          <w:jc w:val="center"/>
        </w:trPr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2DE" w:rsidRPr="009146F4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452DE" w:rsidRPr="00E13A45" w:rsidTr="00007F54">
        <w:trPr>
          <w:trHeight w:val="360"/>
          <w:jc w:val="center"/>
        </w:trPr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2DE" w:rsidRPr="009146F4" w:rsidRDefault="008452DE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Evaluation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452DE" w:rsidRPr="00E13A45" w:rsidTr="00007F54">
        <w:trPr>
          <w:trHeight w:val="360"/>
          <w:jc w:val="center"/>
        </w:trPr>
        <w:tc>
          <w:tcPr>
            <w:tcW w:w="10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2DE" w:rsidRPr="009146F4" w:rsidRDefault="008452DE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Pr="00E13A45" w:rsidRDefault="008452DE" w:rsidP="0000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52DE" w:rsidRDefault="008452DE" w:rsidP="008452DE">
      <w:pPr>
        <w:rPr>
          <w:rFonts w:ascii="Calibri" w:eastAsia="Calibri" w:hAnsi="Calibri" w:cs="Gautami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40"/>
        <w:gridCol w:w="785"/>
        <w:gridCol w:w="7258"/>
      </w:tblGrid>
      <w:tr w:rsidR="008452DE" w:rsidTr="00007F54">
        <w:trPr>
          <w:trHeight w:val="20"/>
          <w:jc w:val="center"/>
        </w:trPr>
        <w:tc>
          <w:tcPr>
            <w:tcW w:w="7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Demonstrate</w:t>
            </w:r>
            <w:r w:rsidRPr="008955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basic concepts of watershed management</w:t>
            </w:r>
          </w:p>
        </w:tc>
      </w:tr>
      <w:tr w:rsidR="008452DE" w:rsidTr="00007F54">
        <w:trPr>
          <w:trHeight w:val="2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Identify and plan for sustainable utilization of available land resources in the watershed.</w:t>
            </w:r>
          </w:p>
        </w:tc>
      </w:tr>
      <w:tr w:rsidR="008452DE" w:rsidTr="00007F54">
        <w:trPr>
          <w:trHeight w:val="121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52DE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Identify and plan for sustainable utilization of available water resources in the watershed.</w:t>
            </w:r>
          </w:p>
        </w:tc>
      </w:tr>
      <w:tr w:rsidR="008452DE" w:rsidTr="00007F54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52DE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Identify various crops patterns, soil condition and water salinity in the watershed and suggest remedial measures.</w:t>
            </w:r>
          </w:p>
        </w:tc>
      </w:tr>
      <w:tr w:rsidR="008452DE" w:rsidTr="00007F54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52DE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Identify various energy resources available in the watershed and plan for sustainable utilization.</w:t>
            </w:r>
          </w:p>
        </w:tc>
      </w:tr>
      <w:tr w:rsidR="008452DE" w:rsidTr="00007F54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2DE" w:rsidRDefault="008452DE" w:rsidP="00007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Default="008452DE" w:rsidP="00007F5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Pr="002A0912" w:rsidRDefault="008452DE" w:rsidP="00007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Apply modern technology for effective integrated watershed management.</w:t>
            </w:r>
          </w:p>
        </w:tc>
      </w:tr>
      <w:tr w:rsidR="008452DE" w:rsidTr="00007F54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2DE" w:rsidRDefault="008452DE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8452DE" w:rsidRDefault="008452DE" w:rsidP="00007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Pr="00802F0E" w:rsidRDefault="008452DE" w:rsidP="00007F54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8452DE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Place in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Global Eff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ects, Degradation Trends; Semi-arid Tropics; Status in India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Forests; Soils, Water, Droughts, Cultivation, Irrigation, Power, Food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Nutrition; Neglected Nodes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Social, Technical, Environment, Cooperation, Economy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2DE" w:rsidRPr="00882C35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2DE" w:rsidRPr="004F456D" w:rsidRDefault="008452DE" w:rsidP="0000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sz w:val="24"/>
                <w:szCs w:val="24"/>
              </w:rPr>
              <w:t>WATERSHED CONCEPT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Watershed;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Need;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Characteristics.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, Shape,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siography, Slope, Climate, Drainage, Land Use, Vegetation, Geology and Soils, Hydrology,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Degradation Devils; Integra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ted Multi-Disciplinary Approach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Socioeconomics, Priorities, Tasks, Rural Technological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livery Systems, Nodes, Economics.</w:t>
            </w:r>
          </w:p>
          <w:p w:rsidR="008452DE" w:rsidRDefault="008452DE" w:rsidP="00007F5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DE" w:rsidRPr="00802F0E" w:rsidRDefault="008452DE" w:rsidP="00007F54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8452DE" w:rsidRPr="00B55FEA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Survey Layout;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Preparation and Development,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Contour Demarcation, Bush Clearance, Uprooting, Stone Picking and Packing, Levelling, Shaping and Consolidation, Fencing, Ploughing; Soil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Soil Moisture Conservation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Soil Survey; Conservation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Measures. Rainwater Management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Stream Head Cutting,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River Bank Management, Flow Irrigation, Waterways; Reclamation of Saline Soils. Alkaline Soils, Saline Soils, Acidic Soils, Sulfide Soils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2DE" w:rsidRDefault="008452DE" w:rsidP="00007F5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DE" w:rsidRPr="00802F0E" w:rsidRDefault="008452DE" w:rsidP="00007F54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8452DE" w:rsidRPr="00802F0E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Investigation. Remote Sensing, Data and Analysis; Exploration, Evaluation and Exploitation; Surface Water. Utilization of Wasted Flows, Salvaging Flood Flows, National Waterway Grid, Dams and Irrigation, Rejected Recharge, Tidal Rivers, Tanks; Rainwater Harvesting. Catchment, Harvesting, Harvesting Structures; Groundwater. Exploitation of Canal Command Areas, Potential Areas, Harvesting; Desalinization of Coastal Saline Stretches, Artificial Recharge; </w:t>
            </w:r>
          </w:p>
          <w:p w:rsidR="008452DE" w:rsidRDefault="008452DE" w:rsidP="00007F5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DE" w:rsidRPr="00802F0E" w:rsidRDefault="008452DE" w:rsidP="00007F54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8452DE" w:rsidRPr="00B55FEA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GREENERY: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Agriculture -Crop Husbandry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Soil Enrichment, Inter, Mixed and Strip Cropping, Cropping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attern; Sustainable Agriculture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Hybrid and Impr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oved Seeds; Biomass Management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Crop Rotation, Legumes, Organic Fertilization, Spid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Fanning; Dryland Agriculture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Runoff Agriculture, Micro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catchment Fanning, Irrigation with Saline Water, Reusing Water, Conserving Water, Sprinkler irrigation, Drip Irrigation, Pot Irrigation, Other Systems, Reducing Cropland Percolation Limes, Reducing Transpiration Losses, Selection of Water Use Eff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iciency Crops; irrigation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Water Losses, Control of Water Levels, Salini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 Problem, Water Distribution.</w:t>
            </w:r>
          </w:p>
          <w:p w:rsidR="008452DE" w:rsidRDefault="008452DE" w:rsidP="000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DE" w:rsidRPr="00EF5B9A" w:rsidRDefault="008452DE" w:rsidP="00007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8452DE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Renewable resources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Water Power, Solar Energy, Wind Power; Biomass. Firewood. Synthetic Fuel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Burning of Municipal Garbage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; Alternative Strategies;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Conservation.</w:t>
            </w:r>
          </w:p>
          <w:p w:rsidR="008452DE" w:rsidRPr="00882C35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2DE" w:rsidRPr="00B23040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SOCIOECONOMICS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Awareness, Participation, Response; State and Integrated Approach. Appreciation of the Concept, Training, Transfer of Technology, Research and Development,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Agro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Infrastructure; Sustainable society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Livestock, Small animal fanning, Pisciculture, Sericulture, Health and Hygiene, Educati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on, Transport, Cues; Economics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Per Hectare Provision, NGOs, International Agencies, Future, Economic Viability; Sustainable Society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2DE" w:rsidRPr="00802F0E" w:rsidRDefault="008452DE" w:rsidP="00007F54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VI</w:t>
            </w:r>
          </w:p>
          <w:p w:rsidR="008452DE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4D6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54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Farm Equipment; Contour Methods; Check Dams; Water Catchment and Harvesting.  Kunds, Depression Harvesting, Harvesting Below Ground Level, Harvesting Below Stream Bed Level, Groundwater Harvesting; Low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-Cost</w:t>
            </w:r>
            <w:r w:rsidRPr="00154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Technology. Water Conservation. Utilization of Wasted Natural Resources, Novelties; Rural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Technological Delivery Systems.</w:t>
            </w:r>
          </w:p>
          <w:p w:rsidR="008452DE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2DE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4D6">
              <w:rPr>
                <w:rFonts w:ascii="Times New Roman" w:hAnsi="Times New Roman" w:cs="Times New Roman"/>
                <w:b/>
                <w:sz w:val="24"/>
                <w:szCs w:val="24"/>
              </w:rPr>
              <w:t>IMPACT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4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Model Watershed; Government Projects. National Projects; World </w:t>
            </w:r>
            <w:r w:rsidRPr="001544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Bank Projects; NGOs Efforts. Society for Promotion of Wasteland Development; ICRISAT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452DE" w:rsidRPr="001544D6" w:rsidRDefault="008452DE" w:rsidP="00007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52DE" w:rsidTr="00007F54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DE" w:rsidRDefault="008452DE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2DE" w:rsidRDefault="008452DE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8452DE" w:rsidRDefault="008452DE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8452DE" w:rsidRDefault="008452DE" w:rsidP="00007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E" w:rsidRPr="00802F0E" w:rsidRDefault="008452DE" w:rsidP="00007F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8452DE" w:rsidRPr="001544D6" w:rsidRDefault="008452DE" w:rsidP="00117367">
            <w:pPr>
              <w:pStyle w:val="ListParagraph"/>
              <w:numPr>
                <w:ilvl w:val="0"/>
                <w:numId w:val="3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D6">
              <w:rPr>
                <w:rFonts w:ascii="Times New Roman" w:hAnsi="Times New Roman"/>
                <w:sz w:val="24"/>
                <w:szCs w:val="24"/>
              </w:rPr>
              <w:t>J.V.S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>Mu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>thy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44D6">
              <w:rPr>
                <w:rFonts w:ascii="Times New Roman" w:hAnsi="Times New Roman"/>
                <w:i/>
                <w:iCs/>
                <w:sz w:val="24"/>
                <w:szCs w:val="24"/>
              </w:rPr>
              <w:t>Watershed Management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 xml:space="preserve">, New Age International Publishers,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44D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2004</w:t>
            </w:r>
          </w:p>
          <w:p w:rsidR="008452DE" w:rsidRPr="001544D6" w:rsidRDefault="008452DE" w:rsidP="00117367">
            <w:pPr>
              <w:pStyle w:val="ListParagraph"/>
              <w:numPr>
                <w:ilvl w:val="0"/>
                <w:numId w:val="3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D6">
              <w:rPr>
                <w:rFonts w:ascii="Times New Roman" w:hAnsi="Times New Roman"/>
                <w:sz w:val="24"/>
                <w:szCs w:val="24"/>
              </w:rPr>
              <w:t>V.V.N.Murthy, and M.K. Jha</w:t>
            </w:r>
            <w:r w:rsidRPr="001544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Land and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</w:t>
            </w:r>
            <w:r w:rsidRPr="001544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ater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Pr="001544D6">
              <w:rPr>
                <w:rFonts w:ascii="Times New Roman" w:hAnsi="Times New Roman"/>
                <w:i/>
                <w:iCs/>
                <w:sz w:val="24"/>
                <w:szCs w:val="24"/>
              </w:rPr>
              <w:t>anagement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>, Kalyani Publishers,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1544D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52DE" w:rsidRDefault="008452DE" w:rsidP="00117367">
            <w:pPr>
              <w:pStyle w:val="ListParagraph"/>
              <w:numPr>
                <w:ilvl w:val="0"/>
                <w:numId w:val="3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D6">
              <w:rPr>
                <w:rFonts w:ascii="Times New Roman" w:hAnsi="Times New Roman"/>
                <w:sz w:val="24"/>
                <w:szCs w:val="24"/>
              </w:rPr>
              <w:t>Madan Mohan Das and M.D. Saikia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44D6">
              <w:rPr>
                <w:rFonts w:ascii="Times New Roman" w:hAnsi="Times New Roman"/>
                <w:i/>
                <w:iCs/>
                <w:sz w:val="24"/>
                <w:szCs w:val="24"/>
              </w:rPr>
              <w:t>Watershed management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 xml:space="preserve">, Prentice Hall ofIndia,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44D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 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52DE" w:rsidRPr="001544D6" w:rsidRDefault="008452DE" w:rsidP="00007F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8452DE" w:rsidRPr="001544D6" w:rsidRDefault="008452DE" w:rsidP="00117367">
            <w:pPr>
              <w:pStyle w:val="ListParagraph"/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D6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 xml:space="preserve"> Black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44D6">
              <w:rPr>
                <w:rFonts w:ascii="Times New Roman" w:hAnsi="Times New Roman"/>
                <w:i/>
                <w:iCs/>
                <w:sz w:val="24"/>
                <w:szCs w:val="24"/>
              </w:rPr>
              <w:t>Watershed Hydrology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 xml:space="preserve">, Prentice Hall Englewood Cliffs,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44D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2001.</w:t>
            </w:r>
          </w:p>
          <w:p w:rsidR="008452DE" w:rsidRDefault="008452DE" w:rsidP="00117367">
            <w:pPr>
              <w:pStyle w:val="ListParagraph"/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D6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 xml:space="preserve"> Suresh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44D6">
              <w:rPr>
                <w:rFonts w:ascii="Times New Roman" w:hAnsi="Times New Roman"/>
                <w:i/>
                <w:iCs/>
                <w:sz w:val="24"/>
                <w:szCs w:val="24"/>
              </w:rPr>
              <w:t>Watershed Hydrology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>, Standard Publishers and Distributors, Delhi,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1544D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</w:t>
            </w:r>
            <w:r w:rsidRPr="001544D6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52DE" w:rsidRPr="007555F3" w:rsidRDefault="008452DE" w:rsidP="00117367">
            <w:pPr>
              <w:pStyle w:val="ListParagraph"/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Ranga Reddy, </w:t>
            </w:r>
            <w:r w:rsidRPr="007D796B">
              <w:rPr>
                <w:rFonts w:ascii="Times New Roman" w:hAnsi="Times New Roman"/>
                <w:i/>
                <w:sz w:val="24"/>
                <w:szCs w:val="24"/>
              </w:rPr>
              <w:t>Watershed Management for Sustainable Development</w:t>
            </w:r>
            <w:r>
              <w:rPr>
                <w:rFonts w:ascii="Times New Roman" w:hAnsi="Times New Roman"/>
                <w:sz w:val="24"/>
                <w:szCs w:val="24"/>
              </w:rPr>
              <w:t>, A Mittal Publications, 2005.</w:t>
            </w:r>
          </w:p>
        </w:tc>
      </w:tr>
    </w:tbl>
    <w:p w:rsidR="008452DE" w:rsidRDefault="008452DE" w:rsidP="008452DE">
      <w:pPr>
        <w:rPr>
          <w:rFonts w:ascii="Times New Roman" w:hAnsi="Times New Roman" w:cs="Times New Roman"/>
          <w:b/>
          <w:sz w:val="24"/>
          <w:szCs w:val="24"/>
        </w:rPr>
      </w:pPr>
    </w:p>
    <w:p w:rsidR="008452DE" w:rsidRDefault="008452DE" w:rsidP="00845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56"/>
        <w:gridCol w:w="550"/>
        <w:gridCol w:w="548"/>
        <w:gridCol w:w="578"/>
        <w:gridCol w:w="555"/>
        <w:gridCol w:w="555"/>
        <w:gridCol w:w="555"/>
        <w:gridCol w:w="555"/>
        <w:gridCol w:w="555"/>
        <w:gridCol w:w="555"/>
        <w:gridCol w:w="625"/>
        <w:gridCol w:w="639"/>
        <w:gridCol w:w="639"/>
        <w:gridCol w:w="639"/>
        <w:gridCol w:w="639"/>
        <w:gridCol w:w="633"/>
      </w:tblGrid>
      <w:tr w:rsidR="008452DE" w:rsidRPr="00F21E42" w:rsidTr="00007F54">
        <w:trPr>
          <w:cantSplit/>
          <w:trHeight w:val="91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DE" w:rsidRPr="00F21E42" w:rsidRDefault="008452DE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452DE" w:rsidRPr="00F21E42" w:rsidRDefault="008452DE" w:rsidP="00007F5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42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8452DE" w:rsidRPr="00F21E42" w:rsidTr="00007F54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DE" w:rsidRPr="00F21E42" w:rsidRDefault="008452DE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8452DE" w:rsidRPr="00F21E42" w:rsidTr="00007F54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DE" w:rsidRPr="00F21E42" w:rsidRDefault="008452DE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DE" w:rsidRPr="00F21E42" w:rsidTr="00007F54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DE" w:rsidRPr="00F21E42" w:rsidRDefault="008452DE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DE" w:rsidRPr="00F21E42" w:rsidTr="00007F54">
        <w:trPr>
          <w:trHeight w:val="56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DE" w:rsidRPr="00F21E42" w:rsidRDefault="008452DE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DE" w:rsidRPr="00F21E42" w:rsidTr="00007F54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DE" w:rsidRPr="00F21E42" w:rsidRDefault="008452DE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DE" w:rsidRPr="00F21E42" w:rsidTr="00007F54">
        <w:trPr>
          <w:trHeight w:val="221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DE" w:rsidRPr="00F21E42" w:rsidRDefault="008452DE" w:rsidP="000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2DE" w:rsidRPr="00F21E42" w:rsidRDefault="008452DE" w:rsidP="000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2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22BF" w:rsidRDefault="002F22BF" w:rsidP="00EE6583"/>
    <w:sectPr w:rsidR="002F22BF" w:rsidSect="00EE6583">
      <w:headerReference w:type="default" r:id="rId8"/>
      <w:footerReference w:type="default" r:id="rId9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AB" w:rsidRDefault="004622AB" w:rsidP="00D834FA">
      <w:pPr>
        <w:spacing w:after="0" w:line="240" w:lineRule="auto"/>
      </w:pPr>
      <w:r>
        <w:separator/>
      </w:r>
    </w:p>
  </w:endnote>
  <w:endnote w:type="continuationSeparator" w:id="1">
    <w:p w:rsidR="004622AB" w:rsidRDefault="004622AB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B837EF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EE658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AB" w:rsidRDefault="004622AB" w:rsidP="00D834FA">
      <w:pPr>
        <w:spacing w:after="0" w:line="240" w:lineRule="auto"/>
      </w:pPr>
      <w:r>
        <w:separator/>
      </w:r>
    </w:p>
  </w:footnote>
  <w:footnote w:type="continuationSeparator" w:id="1">
    <w:p w:rsidR="004622AB" w:rsidRDefault="004622AB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22A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0F96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0C19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07EB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37EF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E6583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2022-09-27T03:16:00Z</dcterms:modified>
</cp:coreProperties>
</file>